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val="0"/>
        <w:snapToGrid w:val="0"/>
        <w:spacing w:after="0" w:line="540" w:lineRule="exact"/>
        <w:jc w:val="left"/>
        <w:textAlignment w:val="auto"/>
        <w:outlineLvl w:val="0"/>
        <w:rPr>
          <w:rFonts w:hint="eastAsia" w:ascii="仿宋_GB2312" w:hAnsi="仿宋_GB2312" w:eastAsia="仿宋_GB2312" w:cs="仿宋_GB2312"/>
          <w:b/>
          <w:sz w:val="36"/>
          <w:szCs w:val="36"/>
        </w:rPr>
      </w:pPr>
      <w:r>
        <w:rPr>
          <w:rFonts w:hint="eastAsia" w:ascii="仿宋_GB2312" w:hAnsi="仿宋_GB2312" w:eastAsia="仿宋_GB2312" w:cs="仿宋_GB2312"/>
          <w:b/>
          <w:sz w:val="36"/>
          <w:szCs w:val="36"/>
        </w:rPr>
        <w:t xml:space="preserve">中铝山西新材料有限公司 </w:t>
      </w:r>
    </w:p>
    <w:p>
      <w:pPr>
        <w:keepNext w:val="0"/>
        <w:keepLines w:val="0"/>
        <w:pageBreakBefore w:val="0"/>
        <w:widowControl/>
        <w:kinsoku/>
        <w:wordWrap/>
        <w:overflowPunct/>
        <w:topLinePunct w:val="0"/>
        <w:autoSpaceDE/>
        <w:autoSpaceDN/>
        <w:bidi w:val="0"/>
        <w:adjustRightInd w:val="0"/>
        <w:snapToGrid w:val="0"/>
        <w:spacing w:after="0" w:line="540" w:lineRule="exact"/>
        <w:jc w:val="center"/>
        <w:textAlignment w:val="auto"/>
        <w:outlineLvl w:val="0"/>
        <w:rPr>
          <w:rFonts w:hint="eastAsia" w:ascii="仿宋_GB2312" w:hAnsi="仿宋_GB2312" w:eastAsia="仿宋_GB2312" w:cs="仿宋_GB2312"/>
          <w:b/>
          <w:sz w:val="44"/>
          <w:szCs w:val="44"/>
        </w:rPr>
      </w:pPr>
      <w:r>
        <w:rPr>
          <w:rFonts w:hint="eastAsia" w:ascii="仿宋_GB2312" w:hAnsi="仿宋_GB2312" w:eastAsia="仿宋_GB2312" w:cs="仿宋_GB2312"/>
          <w:b/>
          <w:sz w:val="44"/>
          <w:szCs w:val="44"/>
        </w:rPr>
        <w:t>创新技术改造 实现超净排放</w:t>
      </w:r>
    </w:p>
    <w:p>
      <w:pPr>
        <w:keepNext w:val="0"/>
        <w:keepLines w:val="0"/>
        <w:pageBreakBefore w:val="0"/>
        <w:widowControl/>
        <w:kinsoku/>
        <w:wordWrap/>
        <w:overflowPunct/>
        <w:topLinePunct w:val="0"/>
        <w:autoSpaceDE/>
        <w:autoSpaceDN/>
        <w:bidi w:val="0"/>
        <w:adjustRightInd w:val="0"/>
        <w:snapToGrid w:val="0"/>
        <w:spacing w:before="156" w:beforeLines="50" w:after="0" w:line="540" w:lineRule="exact"/>
        <w:jc w:val="both"/>
        <w:textAlignment w:val="auto"/>
        <w:rPr>
          <w:rFonts w:hint="eastAsia" w:ascii="仿宋_GB2312" w:hAnsi="仿宋_GB2312" w:eastAsia="仿宋_GB2312" w:cs="仿宋_GB2312"/>
          <w:b/>
          <w:sz w:val="32"/>
          <w:szCs w:val="32"/>
        </w:rPr>
      </w:pPr>
    </w:p>
    <w:p>
      <w:pPr>
        <w:keepNext w:val="0"/>
        <w:keepLines w:val="0"/>
        <w:pageBreakBefore w:val="0"/>
        <w:widowControl/>
        <w:kinsoku/>
        <w:wordWrap/>
        <w:overflowPunct/>
        <w:topLinePunct w:val="0"/>
        <w:autoSpaceDE/>
        <w:autoSpaceDN/>
        <w:bidi w:val="0"/>
        <w:adjustRightInd w:val="0"/>
        <w:snapToGrid w:val="0"/>
        <w:spacing w:before="156" w:beforeLines="50" w:after="0" w:line="540" w:lineRule="exact"/>
        <w:jc w:val="both"/>
        <w:textAlignment w:val="auto"/>
        <w:rPr>
          <w:rFonts w:hint="eastAsia" w:ascii="黑体" w:hAnsi="黑体" w:eastAsia="黑体" w:cs="黑体"/>
          <w:b/>
          <w:sz w:val="32"/>
          <w:szCs w:val="32"/>
        </w:rPr>
      </w:pPr>
      <w:r>
        <w:rPr>
          <w:rFonts w:hint="eastAsia" w:ascii="黑体" w:hAnsi="黑体" w:eastAsia="黑体" w:cs="黑体"/>
          <w:b/>
          <w:sz w:val="32"/>
          <w:szCs w:val="32"/>
        </w:rPr>
        <w:t>案例简介</w:t>
      </w:r>
    </w:p>
    <w:p>
      <w:pPr>
        <w:keepNext w:val="0"/>
        <w:keepLines w:val="0"/>
        <w:pageBreakBefore w:val="0"/>
        <w:widowControl/>
        <w:kinsoku/>
        <w:wordWrap/>
        <w:overflowPunct/>
        <w:topLinePunct w:val="0"/>
        <w:autoSpaceDE/>
        <w:autoSpaceDN/>
        <w:bidi w:val="0"/>
        <w:adjustRightInd w:val="0"/>
        <w:snapToGrid w:val="0"/>
        <w:spacing w:before="50" w:after="0" w:line="540" w:lineRule="exact"/>
        <w:jc w:val="both"/>
        <w:textAlignment w:val="auto"/>
        <w:outlineLvl w:val="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中铝山西新材料有限公司（以下简称山西新材料）氧化铝2#～6#焙烧炉改造前，每台炉的烟气排放含尘浓度均在100mg/Nm</w:t>
      </w:r>
      <w:r>
        <w:rPr>
          <w:rFonts w:hint="eastAsia" w:ascii="仿宋_GB2312" w:hAnsi="仿宋_GB2312" w:eastAsia="仿宋_GB2312" w:cs="仿宋_GB2312"/>
          <w:sz w:val="32"/>
          <w:szCs w:val="32"/>
          <w:vertAlign w:val="superscript"/>
        </w:rPr>
        <w:t>3</w:t>
      </w:r>
      <w:r>
        <w:rPr>
          <w:rFonts w:hint="eastAsia" w:ascii="仿宋_GB2312" w:hAnsi="仿宋_GB2312" w:eastAsia="仿宋_GB2312" w:cs="仿宋_GB2312"/>
          <w:sz w:val="32"/>
          <w:szCs w:val="32"/>
        </w:rPr>
        <w:t>以上,远超现有国家政策及标准要求。为满足达标排放要求，山西新材料参照兄弟企业采用滤网式电除尘、横置阳极等技术路线的改造情况，进一步与相关环保厂商进行深度交流，创新性的采用了电袋复合金属滤袋技术。2019年9月份，5台焙烧炉全部改造完毕，运行的焙烧炉出口烟尘排放浓度均≤5mg/Nm</w:t>
      </w:r>
      <w:r>
        <w:rPr>
          <w:rFonts w:hint="eastAsia" w:ascii="仿宋_GB2312" w:hAnsi="仿宋_GB2312" w:eastAsia="仿宋_GB2312" w:cs="仿宋_GB2312"/>
          <w:sz w:val="32"/>
          <w:szCs w:val="32"/>
          <w:vertAlign w:val="superscript"/>
        </w:rPr>
        <w:t>3</w:t>
      </w:r>
      <w:r>
        <w:rPr>
          <w:rFonts w:hint="eastAsia" w:ascii="仿宋_GB2312" w:hAnsi="仿宋_GB2312" w:eastAsia="仿宋_GB2312" w:cs="仿宋_GB2312"/>
          <w:sz w:val="32"/>
          <w:szCs w:val="32"/>
        </w:rPr>
        <w:t>，达到超净排放，年减排量1217吨，具有较大的环保意义和社会意义，较好地落实了国家及地方污染物排放控制政策，提升了企业的社会形象。</w:t>
      </w:r>
    </w:p>
    <w:p>
      <w:pPr>
        <w:keepNext w:val="0"/>
        <w:keepLines w:val="0"/>
        <w:pageBreakBefore w:val="0"/>
        <w:widowControl/>
        <w:kinsoku/>
        <w:wordWrap/>
        <w:overflowPunct/>
        <w:topLinePunct w:val="0"/>
        <w:autoSpaceDE/>
        <w:autoSpaceDN/>
        <w:bidi w:val="0"/>
        <w:adjustRightInd w:val="0"/>
        <w:snapToGrid w:val="0"/>
        <w:spacing w:before="156" w:beforeLines="50" w:after="0" w:line="540" w:lineRule="exact"/>
        <w:jc w:val="both"/>
        <w:textAlignment w:val="auto"/>
        <w:rPr>
          <w:rFonts w:hint="eastAsia" w:ascii="黑体" w:hAnsi="黑体" w:eastAsia="黑体" w:cs="黑体"/>
          <w:b/>
          <w:sz w:val="32"/>
          <w:szCs w:val="32"/>
        </w:rPr>
      </w:pPr>
      <w:r>
        <w:rPr>
          <w:rFonts w:hint="eastAsia" w:ascii="黑体" w:hAnsi="黑体" w:eastAsia="黑体" w:cs="黑体"/>
          <w:b/>
          <w:sz w:val="32"/>
          <w:szCs w:val="32"/>
        </w:rPr>
        <w:t>背  景</w:t>
      </w:r>
    </w:p>
    <w:p>
      <w:pPr>
        <w:keepNext w:val="0"/>
        <w:keepLines w:val="0"/>
        <w:pageBreakBefore w:val="0"/>
        <w:widowControl/>
        <w:kinsoku/>
        <w:wordWrap/>
        <w:overflowPunct/>
        <w:topLinePunct w:val="0"/>
        <w:autoSpaceDE/>
        <w:autoSpaceDN/>
        <w:bidi w:val="0"/>
        <w:adjustRightInd w:val="0"/>
        <w:snapToGrid w:val="0"/>
        <w:spacing w:before="50" w:after="0" w:line="540" w:lineRule="exact"/>
        <w:jc w:val="both"/>
        <w:textAlignment w:val="auto"/>
        <w:outlineLvl w:val="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b/>
          <w:sz w:val="32"/>
          <w:szCs w:val="32"/>
        </w:rPr>
        <w:t>1.国家环保部对污染物排放提出了新标准。</w:t>
      </w:r>
      <w:r>
        <w:rPr>
          <w:rFonts w:hint="eastAsia" w:ascii="仿宋_GB2312" w:hAnsi="仿宋_GB2312" w:eastAsia="仿宋_GB2312" w:cs="仿宋_GB2312"/>
          <w:sz w:val="32"/>
          <w:szCs w:val="32"/>
        </w:rPr>
        <w:t>2017年6月，环保部以发布修改单的形式对钢铁等行业20项国家污染物排放标准提标；2018年1月，环保部下发《关于京津冀大气污染传输通道城市执行大气污染物特别排放限制的公告》；生态环境部联合国家发改委发布《京津冀及周边地区2018-2019年秋冬季大气污染综合治理攻坚行动方案》明确指出，2018年10月1日起，“2+26城市”火电、钢铁、石化、有色等行业严格执行特别限值。</w:t>
      </w:r>
    </w:p>
    <w:p>
      <w:pPr>
        <w:keepNext w:val="0"/>
        <w:keepLines w:val="0"/>
        <w:pageBreakBefore w:val="0"/>
        <w:widowControl/>
        <w:kinsoku/>
        <w:wordWrap/>
        <w:overflowPunct/>
        <w:topLinePunct w:val="0"/>
        <w:autoSpaceDE/>
        <w:autoSpaceDN/>
        <w:bidi w:val="0"/>
        <w:adjustRightInd w:val="0"/>
        <w:snapToGrid w:val="0"/>
        <w:spacing w:before="50" w:after="0" w:line="540" w:lineRule="exact"/>
        <w:jc w:val="both"/>
        <w:textAlignment w:val="auto"/>
        <w:outlineLvl w:val="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b/>
          <w:sz w:val="32"/>
          <w:szCs w:val="32"/>
        </w:rPr>
        <w:t xml:space="preserve"> 2.山西新材料焙烧炉收尘系统排放指标超标。</w:t>
      </w:r>
      <w:r>
        <w:rPr>
          <w:rFonts w:hint="eastAsia" w:ascii="仿宋_GB2312" w:hAnsi="仿宋_GB2312" w:eastAsia="仿宋_GB2312" w:cs="仿宋_GB2312"/>
          <w:sz w:val="32"/>
          <w:szCs w:val="32"/>
        </w:rPr>
        <w:t>原2#～6#焙烧炉收尘系统设计排放指标均为含尘量≤50mg/Nm3，但由于各台焙烧炉的收尘系统运行年限较长，装备较为落后且投运至今各收尘系统均未进行过大规模改造工作，其烟气排放含尘浓度已无法达到设计标准和相关国家要求。</w:t>
      </w:r>
    </w:p>
    <w:p>
      <w:pPr>
        <w:keepNext w:val="0"/>
        <w:keepLines w:val="0"/>
        <w:pageBreakBefore w:val="0"/>
        <w:widowControl/>
        <w:kinsoku/>
        <w:wordWrap/>
        <w:overflowPunct/>
        <w:topLinePunct w:val="0"/>
        <w:autoSpaceDE/>
        <w:autoSpaceDN/>
        <w:bidi w:val="0"/>
        <w:adjustRightInd w:val="0"/>
        <w:snapToGrid w:val="0"/>
        <w:spacing w:before="50" w:after="0" w:line="540" w:lineRule="exact"/>
        <w:jc w:val="both"/>
        <w:textAlignment w:val="auto"/>
        <w:outlineLvl w:val="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为了响应国家环保政策，达到《铝工业污染排放标准》（GB25465-2010）修改单表1大气污染物特别排放限值要求，山西新材料积极对收尘器进行改造，使其出口烟尘排放浓度≤10mg/Nm</w:t>
      </w:r>
      <w:r>
        <w:rPr>
          <w:rFonts w:hint="eastAsia" w:ascii="仿宋_GB2312" w:hAnsi="仿宋_GB2312" w:eastAsia="仿宋_GB2312" w:cs="仿宋_GB2312"/>
          <w:sz w:val="32"/>
          <w:szCs w:val="32"/>
          <w:vertAlign w:val="superscript"/>
        </w:rPr>
        <w:t>3</w:t>
      </w:r>
      <w:r>
        <w:rPr>
          <w:rFonts w:hint="eastAsia" w:ascii="仿宋_GB2312" w:hAnsi="仿宋_GB2312" w:eastAsia="仿宋_GB2312" w:cs="仿宋_GB2312"/>
          <w:sz w:val="32"/>
          <w:szCs w:val="32"/>
        </w:rPr>
        <w:t>。</w:t>
      </w:r>
    </w:p>
    <w:p>
      <w:pPr>
        <w:keepNext w:val="0"/>
        <w:keepLines w:val="0"/>
        <w:pageBreakBefore w:val="0"/>
        <w:widowControl/>
        <w:kinsoku/>
        <w:wordWrap/>
        <w:overflowPunct/>
        <w:topLinePunct w:val="0"/>
        <w:autoSpaceDE/>
        <w:autoSpaceDN/>
        <w:bidi w:val="0"/>
        <w:adjustRightInd w:val="0"/>
        <w:snapToGrid w:val="0"/>
        <w:spacing w:before="156" w:beforeLines="50" w:after="0" w:line="540" w:lineRule="exact"/>
        <w:jc w:val="both"/>
        <w:textAlignment w:val="auto"/>
        <w:rPr>
          <w:rFonts w:hint="eastAsia" w:ascii="黑体" w:hAnsi="黑体" w:eastAsia="黑体" w:cs="黑体"/>
          <w:b/>
          <w:sz w:val="32"/>
          <w:szCs w:val="32"/>
        </w:rPr>
      </w:pPr>
      <w:r>
        <w:rPr>
          <w:rFonts w:hint="eastAsia" w:ascii="黑体" w:hAnsi="黑体" w:eastAsia="黑体" w:cs="黑体"/>
          <w:b/>
          <w:sz w:val="32"/>
          <w:szCs w:val="32"/>
        </w:rPr>
        <w:t>解决方案</w:t>
      </w:r>
    </w:p>
    <w:p>
      <w:pPr>
        <w:keepNext w:val="0"/>
        <w:keepLines w:val="0"/>
        <w:pageBreakBefore w:val="0"/>
        <w:widowControl/>
        <w:kinsoku/>
        <w:wordWrap/>
        <w:overflowPunct/>
        <w:topLinePunct w:val="0"/>
        <w:autoSpaceDE/>
        <w:autoSpaceDN/>
        <w:bidi w:val="0"/>
        <w:adjustRightInd w:val="0"/>
        <w:snapToGrid w:val="0"/>
        <w:spacing w:before="156" w:beforeLines="50" w:after="0" w:line="540" w:lineRule="exact"/>
        <w:jc w:val="both"/>
        <w:textAlignment w:val="auto"/>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 xml:space="preserve">    1.成立技术团队，快速决策，确定技术改造方案</w:t>
      </w:r>
    </w:p>
    <w:p>
      <w:pPr>
        <w:keepNext w:val="0"/>
        <w:keepLines w:val="0"/>
        <w:pageBreakBefore w:val="0"/>
        <w:widowControl/>
        <w:kinsoku/>
        <w:wordWrap/>
        <w:overflowPunct/>
        <w:topLinePunct w:val="0"/>
        <w:autoSpaceDE/>
        <w:autoSpaceDN/>
        <w:bidi w:val="0"/>
        <w:adjustRightInd w:val="0"/>
        <w:snapToGrid w:val="0"/>
        <w:spacing w:before="156" w:beforeLines="50" w:after="0" w:line="54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山西新材料以履行企业社会责任为己任，积极落实国家环保政策。2017年12月，迅速成立技术团队进行市场调研，经过多次考察、方案比选、技术交流等，最终确定择优采用福建龙净环保股份有限公司自主研发的高温起净电袋复合除尘技术。该技术主要采用电袋复合除尘器将静电除尘和过滤除尘机理有机结合的复合除尘，充分利用前级电场收尘效率高和颗粒荷电的特点，大幅降低进入滤袋区烟气的含尘浓度及滤袋烟尘负荷，避免了粗颗粒对滤袋冲刷造成磨损，并利用荷电粉尘过滤机理提升了设备的综合性能。</w:t>
      </w:r>
    </w:p>
    <w:p>
      <w:pPr>
        <w:keepNext w:val="0"/>
        <w:keepLines w:val="0"/>
        <w:pageBreakBefore w:val="0"/>
        <w:widowControl/>
        <w:kinsoku/>
        <w:wordWrap/>
        <w:overflowPunct/>
        <w:topLinePunct w:val="0"/>
        <w:autoSpaceDE/>
        <w:autoSpaceDN/>
        <w:bidi w:val="0"/>
        <w:adjustRightInd w:val="0"/>
        <w:snapToGrid w:val="0"/>
        <w:spacing w:before="156" w:beforeLines="50" w:after="0" w:line="540" w:lineRule="exact"/>
        <w:ind w:firstLine="643" w:firstLineChars="200"/>
        <w:textAlignment w:val="auto"/>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2.采用风险投资，压实责任，确保项目顺利改造</w:t>
      </w:r>
    </w:p>
    <w:p>
      <w:pPr>
        <w:keepNext w:val="0"/>
        <w:keepLines w:val="0"/>
        <w:pageBreakBefore w:val="0"/>
        <w:widowControl/>
        <w:kinsoku/>
        <w:wordWrap/>
        <w:overflowPunct/>
        <w:topLinePunct w:val="0"/>
        <w:autoSpaceDE/>
        <w:autoSpaceDN/>
        <w:bidi w:val="0"/>
        <w:adjustRightInd w:val="0"/>
        <w:snapToGrid w:val="0"/>
        <w:spacing w:before="156" w:beforeLines="50" w:after="0" w:line="54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为保证项目的稳定可靠，鉴于该技术属于行业首例推行技术，无成功案例，山西新材料决定先采用风险投资模式对5#焙烧炉收尘改造，组织技术鉴定后对后四台焙炉进行改造，规避了因技术不成熟带来的风险，强化了项目实施单位的责任意识，保证项目顺利实施改造，效果显著，提前实现超净排放标准。</w:t>
      </w:r>
    </w:p>
    <w:p>
      <w:pPr>
        <w:keepNext w:val="0"/>
        <w:keepLines w:val="0"/>
        <w:pageBreakBefore w:val="0"/>
        <w:widowControl/>
        <w:kinsoku/>
        <w:wordWrap/>
        <w:overflowPunct/>
        <w:topLinePunct w:val="0"/>
        <w:autoSpaceDE/>
        <w:autoSpaceDN/>
        <w:bidi w:val="0"/>
        <w:adjustRightInd w:val="0"/>
        <w:snapToGrid w:val="0"/>
        <w:spacing w:before="156" w:beforeLines="50" w:after="0" w:line="540" w:lineRule="exact"/>
        <w:ind w:firstLine="643" w:firstLineChars="200"/>
        <w:textAlignment w:val="auto"/>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3.强化项目管理，加强沟通，保证工程改造质量</w:t>
      </w:r>
    </w:p>
    <w:p>
      <w:pPr>
        <w:keepNext w:val="0"/>
        <w:keepLines w:val="0"/>
        <w:pageBreakBefore w:val="0"/>
        <w:widowControl/>
        <w:kinsoku/>
        <w:wordWrap/>
        <w:overflowPunct/>
        <w:topLinePunct w:val="0"/>
        <w:autoSpaceDE/>
        <w:autoSpaceDN/>
        <w:bidi w:val="0"/>
        <w:adjustRightInd w:val="0"/>
        <w:snapToGrid w:val="0"/>
        <w:spacing w:before="156" w:beforeLines="50" w:after="0" w:line="5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为确保项目早日投产运行，山西新材料在项目管理方面采取了多项措施。现场施工前成立项目小组，由监理、生产、项目管理及总包单位</w:t>
      </w:r>
      <w:r>
        <w:rPr>
          <w:rFonts w:hint="eastAsia" w:ascii="仿宋_GB2312" w:hAnsi="仿宋_GB2312" w:eastAsia="仿宋_GB2312" w:cs="仿宋_GB2312"/>
          <w:sz w:val="32"/>
          <w:szCs w:val="32"/>
          <w:lang w:eastAsia="zh-CN"/>
        </w:rPr>
        <w:t>共同</w:t>
      </w:r>
      <w:r>
        <w:rPr>
          <w:rFonts w:hint="eastAsia" w:ascii="仿宋_GB2312" w:hAnsi="仿宋_GB2312" w:eastAsia="仿宋_GB2312" w:cs="仿宋_GB2312"/>
          <w:sz w:val="32"/>
          <w:szCs w:val="32"/>
        </w:rPr>
        <w:t>对现场进行危险因素评价，制定了详细的加固措施及拆除方案。在项目实施过程中，项目责任人积极配合施工单位，详细了解现场情况，落实整体网络计划、施工方案、施工力量、材料设备到货计划等各种可能制约项目进展的因素。尤其是危险因素较多的拆除作业，整个过程严格按照工序实施，项目责任人全程跟踪，发现问题及时纠正、整改，紧张而有序的按进度完成了，同时拆除物资也有条不紊的进行交旧。通过强化项目建设全过程管理，最终实现项目安全、质量、工期、投资四大目标可控在控，项目一次性试运行成功。</w:t>
      </w:r>
    </w:p>
    <w:p>
      <w:pPr>
        <w:keepNext w:val="0"/>
        <w:keepLines w:val="0"/>
        <w:pageBreakBefore w:val="0"/>
        <w:widowControl/>
        <w:kinsoku/>
        <w:wordWrap/>
        <w:overflowPunct/>
        <w:topLinePunct w:val="0"/>
        <w:autoSpaceDE/>
        <w:autoSpaceDN/>
        <w:bidi w:val="0"/>
        <w:adjustRightInd w:val="0"/>
        <w:snapToGrid w:val="0"/>
        <w:spacing w:before="156" w:beforeLines="50" w:after="0" w:line="540" w:lineRule="exact"/>
        <w:jc w:val="both"/>
        <w:textAlignment w:val="auto"/>
        <w:rPr>
          <w:rFonts w:hint="eastAsia" w:ascii="黑体" w:hAnsi="黑体" w:eastAsia="黑体" w:cs="黑体"/>
          <w:b/>
          <w:sz w:val="32"/>
          <w:szCs w:val="32"/>
        </w:rPr>
      </w:pPr>
      <w:r>
        <w:rPr>
          <w:rFonts w:hint="eastAsia" w:ascii="黑体" w:hAnsi="黑体" w:eastAsia="黑体" w:cs="黑体"/>
          <w:b/>
          <w:sz w:val="32"/>
          <w:szCs w:val="32"/>
        </w:rPr>
        <w:t>履责成效</w:t>
      </w:r>
    </w:p>
    <w:p>
      <w:pPr>
        <w:keepNext w:val="0"/>
        <w:keepLines w:val="0"/>
        <w:pageBreakBefore w:val="0"/>
        <w:widowControl/>
        <w:kinsoku/>
        <w:wordWrap/>
        <w:overflowPunct/>
        <w:topLinePunct w:val="0"/>
        <w:autoSpaceDE/>
        <w:autoSpaceDN/>
        <w:bidi w:val="0"/>
        <w:adjustRightInd w:val="0"/>
        <w:snapToGrid w:val="0"/>
        <w:spacing w:before="156" w:beforeLines="50" w:after="0" w:line="5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山西新材料2#～6#焙烧炉收尘项目改造完成后，委托第三方进行检测，显示每台炉的出口烟尘排放浓度均≤10mg/Nm</w:t>
      </w:r>
      <w:r>
        <w:rPr>
          <w:rFonts w:hint="eastAsia" w:ascii="仿宋_GB2312" w:hAnsi="仿宋_GB2312" w:eastAsia="仿宋_GB2312" w:cs="仿宋_GB2312"/>
          <w:sz w:val="32"/>
          <w:szCs w:val="32"/>
          <w:vertAlign w:val="superscript"/>
        </w:rPr>
        <w:t>3</w:t>
      </w:r>
      <w:r>
        <w:rPr>
          <w:rFonts w:hint="eastAsia" w:ascii="仿宋_GB2312" w:hAnsi="仿宋_GB2312" w:eastAsia="仿宋_GB2312" w:cs="仿宋_GB2312"/>
          <w:sz w:val="32"/>
          <w:szCs w:val="32"/>
        </w:rPr>
        <w:t>（详见附件1：第三方检测结果），且经计算每年可新增回收氧化铝粉约1217t。氧化铝焙烧炉粉尘排放浓度达到《铝工业污染物排放标准》（GB 25465-2010）修改单特别排放限值（低于10mg/Nm</w:t>
      </w:r>
      <w:r>
        <w:rPr>
          <w:rFonts w:hint="eastAsia" w:ascii="仿宋_GB2312" w:hAnsi="仿宋_GB2312" w:eastAsia="仿宋_GB2312" w:cs="仿宋_GB2312"/>
          <w:sz w:val="32"/>
          <w:szCs w:val="32"/>
          <w:vertAlign w:val="superscript"/>
        </w:rPr>
        <w:t>3</w:t>
      </w:r>
      <w:r>
        <w:rPr>
          <w:rFonts w:hint="eastAsia" w:ascii="仿宋_GB2312" w:hAnsi="仿宋_GB2312" w:eastAsia="仿宋_GB2312" w:cs="仿宋_GB2312"/>
          <w:sz w:val="32"/>
          <w:szCs w:val="32"/>
        </w:rPr>
        <w:t>）的要求，烟尘排放量符合现有国家政策及标准要求，使周围环境得以改善（详见附件2：改造前后效果图），具有较大的环保意义和社会意义，较好地落实了国家及地方污染物排放控制政策，提升了企业的社会形象。</w:t>
      </w:r>
    </w:p>
    <w:p>
      <w:pPr>
        <w:keepNext w:val="0"/>
        <w:keepLines w:val="0"/>
        <w:pageBreakBefore w:val="0"/>
        <w:widowControl/>
        <w:kinsoku/>
        <w:wordWrap/>
        <w:overflowPunct/>
        <w:topLinePunct w:val="0"/>
        <w:autoSpaceDE/>
        <w:autoSpaceDN/>
        <w:bidi w:val="0"/>
        <w:adjustRightInd w:val="0"/>
        <w:snapToGrid w:val="0"/>
        <w:spacing w:before="156" w:beforeLines="50" w:after="0" w:line="540" w:lineRule="exact"/>
        <w:ind w:firstLine="640" w:firstLineChars="200"/>
        <w:textAlignment w:val="auto"/>
        <w:rPr>
          <w:rFonts w:hint="eastAsia" w:ascii="仿宋_GB2312" w:hAnsi="仿宋_GB2312" w:eastAsia="仿宋_GB2312" w:cs="仿宋_GB2312"/>
          <w:b/>
          <w:sz w:val="32"/>
          <w:szCs w:val="32"/>
        </w:rPr>
      </w:pPr>
      <w:r>
        <w:rPr>
          <w:rFonts w:hint="eastAsia" w:ascii="仿宋_GB2312" w:hAnsi="仿宋_GB2312" w:eastAsia="仿宋_GB2312" w:cs="仿宋_GB2312"/>
          <w:sz w:val="32"/>
          <w:szCs w:val="32"/>
        </w:rPr>
        <w:t>该</w:t>
      </w:r>
      <w:r>
        <w:rPr>
          <w:rFonts w:hint="eastAsia" w:ascii="仿宋_GB2312" w:hAnsi="仿宋_GB2312" w:eastAsia="仿宋_GB2312" w:cs="仿宋_GB2312"/>
          <w:sz w:val="32"/>
          <w:szCs w:val="32"/>
          <w:lang w:eastAsia="zh-CN"/>
        </w:rPr>
        <w:t>技术项目</w:t>
      </w:r>
      <w:r>
        <w:rPr>
          <w:rFonts w:hint="eastAsia" w:ascii="仿宋_GB2312" w:hAnsi="仿宋_GB2312" w:eastAsia="仿宋_GB2312" w:cs="仿宋_GB2312"/>
          <w:sz w:val="32"/>
          <w:szCs w:val="32"/>
        </w:rPr>
        <w:t>成功探索了一条焙烧炉除尘改造的新路径，为铝行业焙烧炉烟气粉尘治理提供了借鉴。经过中铝股份科技部鉴定之后，高温起净电袋复合除尘技术列入中铝股份环保技术推荐目录，获得中铝股份</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2019</w:t>
      </w:r>
      <w:r>
        <w:rPr>
          <w:rFonts w:hint="eastAsia" w:ascii="仿宋_GB2312" w:hAnsi="仿宋_GB2312" w:eastAsia="仿宋_GB2312" w:cs="仿宋_GB2312"/>
          <w:sz w:val="32"/>
          <w:szCs w:val="32"/>
        </w:rPr>
        <w:t>年银点子</w:t>
      </w:r>
      <w:r>
        <w:rPr>
          <w:rFonts w:hint="eastAsia" w:ascii="仿宋_GB2312" w:hAnsi="仿宋_GB2312" w:eastAsia="仿宋_GB2312" w:cs="仿宋_GB2312"/>
          <w:sz w:val="32"/>
          <w:szCs w:val="32"/>
          <w:lang w:eastAsia="zh-CN"/>
        </w:rPr>
        <w:t>”</w:t>
      </w:r>
      <w:bookmarkStart w:id="0" w:name="_GoBack"/>
      <w:bookmarkEnd w:id="0"/>
      <w:r>
        <w:rPr>
          <w:rFonts w:hint="eastAsia" w:ascii="仿宋_GB2312" w:hAnsi="仿宋_GB2312" w:eastAsia="仿宋_GB2312" w:cs="仿宋_GB2312"/>
          <w:sz w:val="32"/>
          <w:szCs w:val="32"/>
        </w:rPr>
        <w:t>。</w:t>
      </w:r>
    </w:p>
    <w:p>
      <w:pPr>
        <w:keepNext w:val="0"/>
        <w:keepLines w:val="0"/>
        <w:pageBreakBefore w:val="0"/>
        <w:widowControl/>
        <w:kinsoku/>
        <w:wordWrap/>
        <w:overflowPunct/>
        <w:topLinePunct w:val="0"/>
        <w:autoSpaceDE/>
        <w:autoSpaceDN/>
        <w:bidi w:val="0"/>
        <w:adjustRightInd w:val="0"/>
        <w:snapToGrid w:val="0"/>
        <w:spacing w:before="156" w:beforeLines="50" w:after="0" w:line="540" w:lineRule="exact"/>
        <w:jc w:val="both"/>
        <w:textAlignment w:val="auto"/>
        <w:rPr>
          <w:rFonts w:hint="eastAsia" w:ascii="黑体" w:hAnsi="黑体" w:eastAsia="黑体" w:cs="黑体"/>
          <w:sz w:val="32"/>
          <w:szCs w:val="32"/>
        </w:rPr>
      </w:pPr>
      <w:r>
        <w:rPr>
          <w:rFonts w:hint="eastAsia" w:ascii="黑体" w:hAnsi="黑体" w:eastAsia="黑体" w:cs="黑体"/>
          <w:b/>
          <w:sz w:val="32"/>
          <w:szCs w:val="32"/>
        </w:rPr>
        <w:t>展望</w:t>
      </w:r>
    </w:p>
    <w:p>
      <w:pPr>
        <w:keepNext w:val="0"/>
        <w:keepLines w:val="0"/>
        <w:pageBreakBefore w:val="0"/>
        <w:widowControl/>
        <w:kinsoku/>
        <w:wordWrap/>
        <w:overflowPunct/>
        <w:topLinePunct w:val="0"/>
        <w:autoSpaceDE/>
        <w:autoSpaceDN/>
        <w:bidi w:val="0"/>
        <w:adjustRightInd w:val="0"/>
        <w:snapToGrid w:val="0"/>
        <w:spacing w:before="156" w:beforeLines="50" w:after="0" w:line="54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山西新材料氧化铝焙烧炉收尘改造完成后，烟尘排放量≤10mg/m</w:t>
      </w:r>
      <w:r>
        <w:rPr>
          <w:rFonts w:hint="eastAsia" w:ascii="仿宋_GB2312" w:hAnsi="仿宋_GB2312" w:eastAsia="仿宋_GB2312" w:cs="仿宋_GB2312"/>
          <w:sz w:val="32"/>
          <w:szCs w:val="32"/>
          <w:vertAlign w:val="superscript"/>
        </w:rPr>
        <w:t>3</w:t>
      </w:r>
      <w:r>
        <w:rPr>
          <w:rFonts w:hint="eastAsia" w:ascii="仿宋_GB2312" w:hAnsi="仿宋_GB2312" w:eastAsia="仿宋_GB2312" w:cs="仿宋_GB2312"/>
          <w:sz w:val="32"/>
          <w:szCs w:val="32"/>
        </w:rPr>
        <w:t>，满足了国家排放标准要求，促进了企业经济与环境保护协调发展，达到经济促环保，环保促进经济的目的，使公司废气得到稳定、彻底的净化治理，使周围环境得以改善，企业形象得以提升，为企业今后的发展打下坚实的基础 。</w:t>
      </w:r>
    </w:p>
    <w:p>
      <w:pPr>
        <w:keepNext w:val="0"/>
        <w:keepLines w:val="0"/>
        <w:pageBreakBefore w:val="0"/>
        <w:widowControl/>
        <w:kinsoku/>
        <w:wordWrap/>
        <w:overflowPunct/>
        <w:topLinePunct w:val="0"/>
        <w:autoSpaceDE/>
        <w:autoSpaceDN/>
        <w:bidi w:val="0"/>
        <w:adjustRightInd w:val="0"/>
        <w:snapToGrid w:val="0"/>
        <w:spacing w:after="0" w:line="540" w:lineRule="exact"/>
        <w:jc w:val="right"/>
        <w:textAlignment w:val="auto"/>
        <w:outlineLvl w:val="0"/>
        <w:rPr>
          <w:rFonts w:hint="eastAsia" w:ascii="仿宋_GB2312" w:hAnsi="仿宋_GB2312" w:eastAsia="仿宋_GB2312" w:cs="仿宋_GB2312"/>
          <w:b/>
          <w:sz w:val="32"/>
          <w:szCs w:val="32"/>
          <w:lang w:eastAsia="zh-CN"/>
        </w:rPr>
      </w:pPr>
      <w:r>
        <w:rPr>
          <w:rFonts w:hint="eastAsia" w:ascii="仿宋_GB2312" w:hAnsi="仿宋_GB2312" w:eastAsia="仿宋_GB2312" w:cs="仿宋_GB2312"/>
          <w:b/>
          <w:sz w:val="32"/>
          <w:szCs w:val="32"/>
          <w:lang w:eastAsia="zh-CN"/>
        </w:rPr>
        <w:t>（</w:t>
      </w:r>
      <w:r>
        <w:rPr>
          <w:rFonts w:hint="eastAsia" w:ascii="仿宋_GB2312" w:hAnsi="仿宋_GB2312" w:eastAsia="仿宋_GB2312" w:cs="仿宋_GB2312"/>
          <w:b/>
          <w:sz w:val="32"/>
          <w:szCs w:val="32"/>
        </w:rPr>
        <w:t>潘铖欢</w:t>
      </w:r>
      <w:r>
        <w:rPr>
          <w:rFonts w:hint="eastAsia" w:ascii="仿宋_GB2312" w:hAnsi="仿宋_GB2312" w:eastAsia="仿宋_GB2312" w:cs="仿宋_GB2312"/>
          <w:b/>
          <w:sz w:val="32"/>
          <w:szCs w:val="32"/>
          <w:lang w:eastAsia="zh-CN"/>
        </w:rPr>
        <w:t>）</w:t>
      </w:r>
    </w:p>
    <w:p>
      <w:pPr>
        <w:keepNext w:val="0"/>
        <w:keepLines w:val="0"/>
        <w:pageBreakBefore w:val="0"/>
        <w:widowControl/>
        <w:kinsoku/>
        <w:wordWrap/>
        <w:overflowPunct/>
        <w:topLinePunct w:val="0"/>
        <w:autoSpaceDE/>
        <w:autoSpaceDN/>
        <w:bidi w:val="0"/>
        <w:adjustRightInd w:val="0"/>
        <w:snapToGrid w:val="0"/>
        <w:spacing w:after="0" w:line="540" w:lineRule="exact"/>
        <w:jc w:val="center"/>
        <w:textAlignment w:val="auto"/>
        <w:outlineLvl w:val="0"/>
        <w:rPr>
          <w:rFonts w:hint="eastAsia" w:ascii="仿宋_GB2312" w:hAnsi="仿宋_GB2312" w:eastAsia="仿宋_GB2312" w:cs="仿宋_GB2312"/>
          <w:b/>
          <w:sz w:val="32"/>
          <w:szCs w:val="32"/>
        </w:rPr>
      </w:pPr>
    </w:p>
    <w:p>
      <w:pPr>
        <w:keepNext w:val="0"/>
        <w:keepLines w:val="0"/>
        <w:pageBreakBefore w:val="0"/>
        <w:widowControl/>
        <w:kinsoku/>
        <w:wordWrap/>
        <w:overflowPunct/>
        <w:topLinePunct w:val="0"/>
        <w:autoSpaceDE/>
        <w:autoSpaceDN/>
        <w:bidi w:val="0"/>
        <w:adjustRightInd w:val="0"/>
        <w:snapToGrid w:val="0"/>
        <w:spacing w:before="156" w:beforeLines="50" w:after="0" w:line="540" w:lineRule="exact"/>
        <w:jc w:val="right"/>
        <w:textAlignment w:val="auto"/>
        <w:rPr>
          <w:rFonts w:hint="eastAsia" w:ascii="仿宋_GB2312" w:hAnsi="仿宋_GB2312" w:eastAsia="仿宋_GB2312" w:cs="仿宋_GB2312"/>
          <w:b/>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Tahoma">
    <w:panose1 w:val="020B0604030504040204"/>
    <w:charset w:val="00"/>
    <w:family w:val="swiss"/>
    <w:pitch w:val="default"/>
    <w:sig w:usb0="61007A87" w:usb1="80000000" w:usb2="00000008" w:usb3="00000000" w:csb0="200101FF" w:csb1="20280000"/>
  </w:font>
  <w:font w:name="微软雅黑">
    <w:panose1 w:val="020B0503020204020204"/>
    <w:charset w:val="86"/>
    <w:family w:val="swiss"/>
    <w:pitch w:val="default"/>
    <w:sig w:usb0="80000287" w:usb1="2A0F3C52" w:usb2="00000016" w:usb3="00000000" w:csb0="0004001F"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30312"/>
    <w:rsid w:val="000229D8"/>
    <w:rsid w:val="0003766C"/>
    <w:rsid w:val="000C1021"/>
    <w:rsid w:val="0015102A"/>
    <w:rsid w:val="00175725"/>
    <w:rsid w:val="001C1A5B"/>
    <w:rsid w:val="001F46AC"/>
    <w:rsid w:val="0020347C"/>
    <w:rsid w:val="002329D0"/>
    <w:rsid w:val="00275093"/>
    <w:rsid w:val="00452CD8"/>
    <w:rsid w:val="004B67C4"/>
    <w:rsid w:val="004F16BC"/>
    <w:rsid w:val="004F76E3"/>
    <w:rsid w:val="00502BED"/>
    <w:rsid w:val="00525CD1"/>
    <w:rsid w:val="005577D4"/>
    <w:rsid w:val="00563A33"/>
    <w:rsid w:val="00586F50"/>
    <w:rsid w:val="005C2D95"/>
    <w:rsid w:val="0061115F"/>
    <w:rsid w:val="006231EF"/>
    <w:rsid w:val="00650812"/>
    <w:rsid w:val="006E717A"/>
    <w:rsid w:val="006F4912"/>
    <w:rsid w:val="007127B8"/>
    <w:rsid w:val="00731089"/>
    <w:rsid w:val="007D0C48"/>
    <w:rsid w:val="00823676"/>
    <w:rsid w:val="0089486E"/>
    <w:rsid w:val="008F4308"/>
    <w:rsid w:val="00910080"/>
    <w:rsid w:val="00916616"/>
    <w:rsid w:val="009A1109"/>
    <w:rsid w:val="00AB2FE2"/>
    <w:rsid w:val="00AD60DD"/>
    <w:rsid w:val="00AF52A4"/>
    <w:rsid w:val="00B02023"/>
    <w:rsid w:val="00B13AF9"/>
    <w:rsid w:val="00B172FC"/>
    <w:rsid w:val="00B6373F"/>
    <w:rsid w:val="00B91F83"/>
    <w:rsid w:val="00C245FC"/>
    <w:rsid w:val="00C30312"/>
    <w:rsid w:val="00C31DE9"/>
    <w:rsid w:val="00C363DC"/>
    <w:rsid w:val="00C56711"/>
    <w:rsid w:val="00CC622B"/>
    <w:rsid w:val="00CD0741"/>
    <w:rsid w:val="00D44D5A"/>
    <w:rsid w:val="00DA62A8"/>
    <w:rsid w:val="00DE28AD"/>
    <w:rsid w:val="00E0122E"/>
    <w:rsid w:val="00EA6801"/>
    <w:rsid w:val="00ED1E98"/>
    <w:rsid w:val="00F13188"/>
    <w:rsid w:val="00FB1E2F"/>
    <w:rsid w:val="00FE045F"/>
    <w:rsid w:val="00FF4CDF"/>
    <w:rsid w:val="070A4D80"/>
    <w:rsid w:val="37CB0325"/>
    <w:rsid w:val="5BA925AE"/>
    <w:rsid w:val="705F48AB"/>
    <w:rsid w:val="747324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heme="minorBidi"/>
      <w:kern w:val="0"/>
      <w:sz w:val="22"/>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Layout w:type="fixed"/>
      <w:tblCellMar>
        <w:top w:w="0" w:type="dxa"/>
        <w:left w:w="108" w:type="dxa"/>
        <w:bottom w:w="0" w:type="dxa"/>
        <w:right w:w="108" w:type="dxa"/>
      </w:tblCellMar>
    </w:tblPr>
  </w:style>
  <w:style w:type="paragraph" w:styleId="2">
    <w:name w:val="Balloon Text"/>
    <w:basedOn w:val="1"/>
    <w:link w:val="8"/>
    <w:semiHidden/>
    <w:unhideWhenUsed/>
    <w:qFormat/>
    <w:uiPriority w:val="99"/>
    <w:pPr>
      <w:spacing w:after="0"/>
    </w:pPr>
    <w:rPr>
      <w:sz w:val="18"/>
      <w:szCs w:val="18"/>
    </w:rPr>
  </w:style>
  <w:style w:type="paragraph" w:styleId="3">
    <w:name w:val="footer"/>
    <w:basedOn w:val="1"/>
    <w:link w:val="10"/>
    <w:semiHidden/>
    <w:unhideWhenUsed/>
    <w:qFormat/>
    <w:uiPriority w:val="99"/>
    <w:pPr>
      <w:tabs>
        <w:tab w:val="center" w:pos="4153"/>
        <w:tab w:val="right" w:pos="8306"/>
      </w:tabs>
    </w:pPr>
    <w:rPr>
      <w:sz w:val="18"/>
      <w:szCs w:val="18"/>
    </w:rPr>
  </w:style>
  <w:style w:type="paragraph" w:styleId="4">
    <w:name w:val="header"/>
    <w:basedOn w:val="1"/>
    <w:link w:val="9"/>
    <w:semiHidden/>
    <w:unhideWhenUsed/>
    <w:qFormat/>
    <w:uiPriority w:val="99"/>
    <w:pPr>
      <w:pBdr>
        <w:bottom w:val="single" w:color="auto" w:sz="6" w:space="1"/>
      </w:pBdr>
      <w:tabs>
        <w:tab w:val="center" w:pos="4153"/>
        <w:tab w:val="right" w:pos="8306"/>
      </w:tabs>
      <w:jc w:val="center"/>
    </w:pPr>
    <w:rPr>
      <w:sz w:val="18"/>
      <w:szCs w:val="18"/>
    </w:rPr>
  </w:style>
  <w:style w:type="paragraph" w:styleId="7">
    <w:name w:val="List Paragraph"/>
    <w:basedOn w:val="1"/>
    <w:qFormat/>
    <w:uiPriority w:val="34"/>
    <w:pPr>
      <w:widowControl w:val="0"/>
      <w:adjustRightInd/>
      <w:snapToGrid/>
      <w:spacing w:after="0"/>
      <w:ind w:firstLine="420" w:firstLineChars="200"/>
      <w:jc w:val="both"/>
    </w:pPr>
    <w:rPr>
      <w:rFonts w:ascii="Times New Roman" w:hAnsi="Times New Roman" w:eastAsia="宋体" w:cs="Times New Roman"/>
      <w:kern w:val="2"/>
      <w:sz w:val="21"/>
      <w:szCs w:val="21"/>
    </w:rPr>
  </w:style>
  <w:style w:type="character" w:customStyle="1" w:styleId="8">
    <w:name w:val="批注框文本 Char"/>
    <w:basedOn w:val="6"/>
    <w:link w:val="2"/>
    <w:semiHidden/>
    <w:qFormat/>
    <w:uiPriority w:val="99"/>
    <w:rPr>
      <w:rFonts w:ascii="Tahoma" w:hAnsi="Tahoma" w:eastAsia="微软雅黑"/>
      <w:kern w:val="0"/>
      <w:sz w:val="18"/>
      <w:szCs w:val="18"/>
    </w:rPr>
  </w:style>
  <w:style w:type="character" w:customStyle="1" w:styleId="9">
    <w:name w:val="页眉 Char"/>
    <w:basedOn w:val="6"/>
    <w:link w:val="4"/>
    <w:semiHidden/>
    <w:uiPriority w:val="99"/>
    <w:rPr>
      <w:rFonts w:ascii="Tahoma" w:hAnsi="Tahoma" w:eastAsia="微软雅黑"/>
      <w:kern w:val="0"/>
      <w:sz w:val="18"/>
      <w:szCs w:val="18"/>
    </w:rPr>
  </w:style>
  <w:style w:type="character" w:customStyle="1" w:styleId="10">
    <w:name w:val="页脚 Char"/>
    <w:basedOn w:val="6"/>
    <w:link w:val="3"/>
    <w:semiHidden/>
    <w:uiPriority w:val="99"/>
    <w:rPr>
      <w:rFonts w:ascii="Tahoma" w:hAnsi="Tahoma" w:eastAsia="微软雅黑"/>
      <w:kern w:val="0"/>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www.deepin.com</Company>
  <Pages>2</Pages>
  <Words>297</Words>
  <Characters>1699</Characters>
  <Lines>14</Lines>
  <Paragraphs>3</Paragraphs>
  <TotalTime>0</TotalTime>
  <ScaleCrop>false</ScaleCrop>
  <LinksUpToDate>false</LinksUpToDate>
  <CharactersWithSpaces>1993</CharactersWithSpaces>
  <Application>WPS Office_11.1.0.9021_F1E327BC-269C-435d-A152-05C5408002CA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2020-05-18T08:19:00Z</dcterms:created>
  <dc:creator>潘铖欢</dc:creator>
  <cp:lastModifiedBy>木央</cp:lastModifiedBy>
  <dcterms:modified xsi:type="dcterms:W3CDTF">2021-07-26T01:53:41Z</dcterms:modified>
  <cp:revision>89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ies>
</file>